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30" w:rsidRPr="003B2630" w:rsidRDefault="003B2630" w:rsidP="003B2630">
      <w:pPr>
        <w:tabs>
          <w:tab w:val="left" w:pos="2250"/>
        </w:tabs>
        <w:rPr>
          <w:rFonts w:ascii="Calibri" w:eastAsia="Times New Roman" w:hAnsi="Calibri" w:cs="Times New Roman"/>
        </w:rPr>
      </w:pPr>
    </w:p>
    <w:p w:rsidR="003B2630" w:rsidRPr="003B2630" w:rsidRDefault="003B2630" w:rsidP="003B263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7C2DF8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«Энергосфера»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2.2 ТЕХНОЛОГИЧЕСКОЕ ПРИСОЕДИНЕНИЕ К ЭЛЕКТРИЧЕСКИМ СЕТЯМ СЕТЕВОЙ ОРГАНИЗАЦИИ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ПОСРЕДСТВОМ ПЕРЕРАСПРЕДЕЛЕНИЯ МАКСИМАЛЬНОЙ МОЩНОСТИ</w:t>
      </w: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</w:r>
    </w:p>
    <w:p w:rsidR="003B2630" w:rsidRPr="003B2630" w:rsidRDefault="003B2630" w:rsidP="003B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3) Заявители, в отношении которых до 1 января </w:t>
      </w:r>
      <w:smartTag w:uri="urn:schemas-microsoft-com:office:smarttags" w:element="metricconverter">
        <w:smartTagPr>
          <w:attr w:name="ProductID" w:val="2009 г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>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с энергопринимающими устройствами для бытовых и иных нужд не связанных с предпринимательской деятельностью нагрузкой до 15 кВт (с учетом ранее присоединенной) ( 3 категория надежности).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энергопринимающих устройств Заявителя посредством перераспределения мощности.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ОБЩИЙ СРОК ОКАЗАНИЯ УСЛУГИ (ПРОЦЕССА):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дней - </w:t>
      </w:r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(или)отсутствует необходимость строительства  (реконструкции) объектов электросетевого хозяйства, включенных(подлежащих включению в инвест. программы сетевой организации ( в том числе смежных сетевых организаций) и (или) объектов по производству эл. энергии.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120 дней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строительства (реконструкции)объектов электросетевого хозяйства, включенных ( подлежащих включению) в инвестиционные программы ( в том числе смежных сетевых организаций) и (или) объектов по производству эл. энергии: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6 месяцев - в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случаях технологического присоединения к электрическим сетям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1 год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менее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года,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если иные сроки не предусмотрены инвестиционной программой (но не более 4 лет) - для заявителей, максимальная мощность энергопринимающих устройств которых составляет  не менее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2630" w:rsidRPr="003B2630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p w:rsidR="003B2630" w:rsidRPr="003B2630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578"/>
        <w:gridCol w:w="2166"/>
        <w:gridCol w:w="2318"/>
        <w:gridCol w:w="3064"/>
        <w:gridCol w:w="1946"/>
        <w:gridCol w:w="1797"/>
        <w:gridCol w:w="2763"/>
      </w:tblGrid>
      <w:tr w:rsidR="003B2630" w:rsidRPr="003B2630" w:rsidTr="001D070A">
        <w:trPr>
          <w:tblHeader/>
        </w:trPr>
        <w:tc>
          <w:tcPr>
            <w:tcW w:w="19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3B2630" w:rsidRPr="003B2630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7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B2630" w:rsidRPr="003B2630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B2630" w:rsidRPr="003B2630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104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B2630" w:rsidRPr="003B2630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B2630" w:rsidRPr="003B2630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B2630" w:rsidRPr="003B2630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4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3B2630" w:rsidRPr="003B2630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</w:t>
            </w:r>
          </w:p>
        </w:tc>
        <w:tc>
          <w:tcPr>
            <w:tcW w:w="740" w:type="pct"/>
            <w:tcBorders>
              <w:top w:val="double" w:sz="4" w:space="0" w:color="4F81BD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о перераспределении мощности между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заинтересованными лицами</w:t>
            </w:r>
          </w:p>
        </w:tc>
        <w:tc>
          <w:tcPr>
            <w:tcW w:w="792" w:type="pct"/>
            <w:tcBorders>
              <w:top w:val="double" w:sz="4" w:space="0" w:color="4F81BD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double" w:sz="4" w:space="0" w:color="4F81BD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между лицами о перераспределении максимальной мощности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принадлежащими им энергопринимающими устройствами</w:t>
            </w:r>
          </w:p>
        </w:tc>
        <w:tc>
          <w:tcPr>
            <w:tcW w:w="665" w:type="pct"/>
            <w:tcBorders>
              <w:top w:val="double" w:sz="4" w:space="0" w:color="4F81BD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tcW w:w="614" w:type="pct"/>
            <w:tcBorders>
              <w:top w:val="double" w:sz="4" w:space="0" w:color="4F81BD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4" w:type="pct"/>
            <w:tcBorders>
              <w:top w:val="double" w:sz="4" w:space="0" w:color="4F81BD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энергопринимающихустро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йств потребителей электрической энергии</w:t>
            </w:r>
            <w:r w:rsidRPr="003B2630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 w:rsidRPr="003B263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1.2.</w:t>
            </w:r>
          </w:p>
        </w:tc>
        <w:tc>
          <w:tcPr>
            <w:tcW w:w="740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1.2.1</w:t>
            </w:r>
            <w:r w:rsidRPr="003B2630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.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2630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1.2.2.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1.3.</w:t>
            </w:r>
          </w:p>
        </w:tc>
        <w:tc>
          <w:tcPr>
            <w:tcW w:w="740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направляет копию уведомления субъекту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оперативно-диспетчерского управления</w:t>
            </w: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следующих случаях: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технические условия, подлежат согласованию с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субъектом оперативно-диспетчерского управления;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Пункт 34 Правил технологического присоединения энергопринимающих устройств потребителей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2.</w:t>
            </w:r>
          </w:p>
        </w:tc>
        <w:tc>
          <w:tcPr>
            <w:tcW w:w="740" w:type="pct"/>
            <w:vMerge w:val="restar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2.1. 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2.2.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(выдача при очном посещении офиса обслуживания) сетевой организацией проекта договора об осуществлении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  с  техническими условиями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направляется 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дней с даты  получения уведомления или недостающих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сведений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не позднее 3 рабочих дней со дня согласования с системным оператором тех.условий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2.3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B2630">
              <w:rPr>
                <w:rFonts w:ascii="Times New Roman" w:eastAsia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В случае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, позволяющим подтвердить факт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получения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30 дней со дня получения подписанного сетевой организацией проекта договора и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2.5.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9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перераспределяет-ся, информацию об изменениях в ранее выданные ему технические условия </w:t>
            </w: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color w:val="548DD4"/>
              </w:rPr>
              <w:t>3.1</w:t>
            </w:r>
            <w:r w:rsidRPr="003B2630">
              <w:rPr>
                <w:rFonts w:ascii="Times New Roman" w:eastAsia="Times New Roman" w:hAnsi="Times New Roman" w:cs="Times New Roman"/>
              </w:rPr>
              <w:t>.В случае если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rPr>
          <w:trHeight w:val="695"/>
        </w:trPr>
        <w:tc>
          <w:tcPr>
            <w:tcW w:w="198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740" w:type="pct"/>
            <w:vMerge w:val="restar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Выполнение сторонами мероприятий по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4.1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 w:val="restar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Пункт 16, 18, 38 Правил технологического присоединения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3B2630" w:rsidRPr="003B2630" w:rsidTr="001D070A"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B2630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630" w:rsidRPr="003B2630" w:rsidTr="001D070A"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4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30" w:rsidRPr="003B2630" w:rsidTr="001D070A"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4.4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B2630">
              <w:rPr>
                <w:rFonts w:ascii="Times New Roman" w:eastAsia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4.5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B2630">
              <w:rPr>
                <w:rFonts w:ascii="Times New Roman" w:eastAsia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9325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Пункты 85</w:t>
            </w:r>
            <w:r w:rsidR="009325C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3B2630">
              <w:rPr>
                <w:rFonts w:ascii="Times New Roman" w:eastAsia="Times New Roman" w:hAnsi="Times New Roman" w:cs="Times New Roman"/>
              </w:rPr>
              <w:t>86</w:t>
            </w:r>
            <w:r w:rsidR="009325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3B2630">
              <w:rPr>
                <w:rFonts w:ascii="Times New Roman" w:eastAsia="Times New Roman" w:hAnsi="Times New Roman" w:cs="Times New Roman"/>
              </w:rPr>
              <w:t>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технических условий с системным оператором 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4.6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етевой  организацией уведомления о готовности заявителя к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Копии уведомления заявителя с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необходимым пакетом документов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В течение 2 дней со дня получения от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заявителя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Пункты 94 Правил технологического присоединения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40" w:type="pct"/>
            <w:vMerge w:val="restar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4034E2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B2630" w:rsidRPr="003B2630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3B2630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Пункты 8</w:t>
            </w:r>
            <w:r w:rsidR="009325C7">
              <w:rPr>
                <w:rFonts w:ascii="Times New Roman" w:eastAsia="Times New Roman" w:hAnsi="Times New Roman" w:cs="Times New Roman"/>
              </w:rPr>
              <w:t>2</w:t>
            </w:r>
            <w:r w:rsidRPr="003B2630">
              <w:rPr>
                <w:rFonts w:ascii="Times New Roman" w:eastAsia="Times New Roman" w:hAnsi="Times New Roman" w:cs="Times New Roman"/>
              </w:rPr>
              <w:t>-</w:t>
            </w:r>
            <w:r w:rsidR="009325C7">
              <w:rPr>
                <w:rFonts w:ascii="Times New Roman" w:eastAsia="Times New Roman" w:hAnsi="Times New Roman" w:cs="Times New Roman"/>
              </w:rPr>
              <w:t>90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Если представители субъекта оперативно-диспетчерского управления участвовали в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осмотре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5.2.</w:t>
            </w:r>
            <w:r w:rsidRPr="003B2630">
              <w:rPr>
                <w:rFonts w:ascii="Times New Roman" w:eastAsia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Пункт 97 Правил технологического присоединения энергопринимающих устройств потребителей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кВ включительно. 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5.4.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4034E2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3B2630" w:rsidRPr="003B2630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3B2630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5.5.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Подписание сторонами  и передача Акт допуска в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эксплуатацию прибора учета.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4034E2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3B2630" w:rsidRPr="003B2630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3B2630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</w:t>
            </w:r>
            <w:r w:rsidR="003B2630" w:rsidRPr="003B2630">
              <w:rPr>
                <w:rFonts w:ascii="Times New Roman" w:eastAsia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3B263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5.6.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Если технические условия подлежат согласованию с системным оператором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направление (выдача) заявителю Акта о выполнении технических условий в 3 экземплярах.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5.7. </w:t>
            </w:r>
            <w:r w:rsidRPr="003B2630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Если технические условия подлежат согласованию с системным оператором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два экземпляра подписанного со своей стороны акта о выполнении технических условий.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Подписанный Акт о выполнении технических условий в письменной форме направляется 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rPr>
          <w:trHeight w:val="695"/>
        </w:trPr>
        <w:tc>
          <w:tcPr>
            <w:tcW w:w="198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6</w:t>
            </w:r>
          </w:p>
        </w:tc>
        <w:tc>
          <w:tcPr>
            <w:tcW w:w="740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  <w:vAlign w:val="center"/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 xml:space="preserve">Осмотр  (обследование) присоединяемых  энергопринимающих устройств должностным лицом органа федерального государственного энергетического надзора при участии сетевой организации 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и субъекта оперативно-диспетчерского управления (если технические условия подлежат согласованию с системным оператором )</w:t>
            </w:r>
          </w:p>
        </w:tc>
        <w:tc>
          <w:tcPr>
            <w:tcW w:w="792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Выполнение технических условий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 xml:space="preserve">( за исключением  заявителей  , указанных в п.12 </w:t>
            </w:r>
            <w:r w:rsidRPr="003B2630"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энергии, в случае технологического присоединения  их энергопринимающих устройств к электрическим сетям до 10 кВ включительно и  п. 12(1), 14).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</w:t>
            </w:r>
            <w:r w:rsidRPr="003B2630">
              <w:rPr>
                <w:rFonts w:ascii="Times New Roman" w:eastAsia="Times New Roman" w:hAnsi="Times New Roman" w:cs="Times New Roman"/>
                <w:b/>
                <w:color w:val="548DD4"/>
              </w:rPr>
              <w:t>1.</w:t>
            </w:r>
            <w:r w:rsidRPr="003B2630">
              <w:rPr>
                <w:rFonts w:ascii="Times New Roman" w:eastAsia="Times New Roman" w:hAnsi="Times New Roman" w:cs="Times New Roman"/>
              </w:rPr>
              <w:t>Получение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1"/>
        </w:trPr>
        <w:tc>
          <w:tcPr>
            <w:tcW w:w="198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</w:t>
            </w:r>
          </w:p>
        </w:tc>
        <w:tc>
          <w:tcPr>
            <w:tcW w:w="740" w:type="pct"/>
            <w:vMerge w:val="restar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7.1</w:t>
            </w:r>
            <w:r w:rsidRPr="003B2630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7.2.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(выдача) заявителю: 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Акты  в письменной форме направляются </w:t>
            </w:r>
            <w:r w:rsidRPr="003B263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B2630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условиями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lastRenderedPageBreak/>
              <w:t xml:space="preserve">Пункт 19 Правил технологического </w:t>
            </w:r>
            <w:r w:rsidRPr="003B2630">
              <w:rPr>
                <w:rFonts w:ascii="Times New Roman" w:eastAsia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3B2630" w:rsidRPr="003B2630" w:rsidTr="001D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98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0070C0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6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7.3.</w:t>
            </w:r>
            <w:r w:rsidRPr="003B2630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энергосбытовую организацию </w:t>
            </w:r>
          </w:p>
        </w:tc>
        <w:tc>
          <w:tcPr>
            <w:tcW w:w="665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2630" w:rsidRPr="003B2630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4" w:type="pct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2630" w:rsidRPr="003B2630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B2630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B2630" w:rsidRPr="003B2630" w:rsidRDefault="003B2630" w:rsidP="003B2630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447E9" w:rsidRPr="002F6588" w:rsidRDefault="00D447E9" w:rsidP="00D447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Контактная инфо</w:t>
      </w:r>
      <w:r w:rsidRPr="002F65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588">
        <w:rPr>
          <w:rFonts w:ascii="Times New Roman" w:hAnsi="Times New Roman" w:cs="Times New Roman"/>
          <w:sz w:val="24"/>
          <w:szCs w:val="24"/>
        </w:rPr>
        <w:t>ация:</w:t>
      </w:r>
    </w:p>
    <w:p w:rsidR="00D447E9" w:rsidRPr="002F6588" w:rsidRDefault="00D447E9" w:rsidP="00D447E9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г. Киров, Мелькомбинатовский пр-д, д.7, оф. 201</w:t>
      </w:r>
    </w:p>
    <w:p w:rsidR="00D447E9" w:rsidRPr="002F6588" w:rsidRDefault="00D447E9" w:rsidP="00D447E9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(8332) 21-99-03</w:t>
      </w:r>
    </w:p>
    <w:p w:rsidR="00D447E9" w:rsidRPr="002F6588" w:rsidRDefault="00D447E9" w:rsidP="00D447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6588">
        <w:rPr>
          <w:rFonts w:ascii="Times New Roman" w:hAnsi="Times New Roman" w:cs="Times New Roman"/>
          <w:sz w:val="24"/>
          <w:szCs w:val="24"/>
        </w:rPr>
        <w:t>21-99-03</w:t>
      </w:r>
      <w:r w:rsidRPr="002F6588">
        <w:rPr>
          <w:rFonts w:ascii="Times New Roman" w:hAnsi="Times New Roman" w:cs="Times New Roman"/>
          <w:sz w:val="24"/>
          <w:szCs w:val="24"/>
          <w:lang w:val="en-US"/>
        </w:rPr>
        <w:t>@mail.ru</w:t>
      </w:r>
    </w:p>
    <w:p w:rsidR="005B5A78" w:rsidRDefault="005B5A78"/>
    <w:sectPr w:rsidR="005B5A78" w:rsidSect="003B2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5F" w:rsidRDefault="00A5305F" w:rsidP="003B2630">
      <w:pPr>
        <w:spacing w:after="0" w:line="240" w:lineRule="auto"/>
      </w:pPr>
      <w:r>
        <w:separator/>
      </w:r>
    </w:p>
  </w:endnote>
  <w:endnote w:type="continuationSeparator" w:id="1">
    <w:p w:rsidR="00A5305F" w:rsidRDefault="00A5305F" w:rsidP="003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5F" w:rsidRDefault="00A5305F" w:rsidP="003B2630">
      <w:pPr>
        <w:spacing w:after="0" w:line="240" w:lineRule="auto"/>
      </w:pPr>
      <w:r>
        <w:separator/>
      </w:r>
    </w:p>
  </w:footnote>
  <w:footnote w:type="continuationSeparator" w:id="1">
    <w:p w:rsidR="00A5305F" w:rsidRDefault="00A5305F" w:rsidP="003B2630">
      <w:pPr>
        <w:spacing w:after="0" w:line="240" w:lineRule="auto"/>
      </w:pPr>
      <w:r>
        <w:continuationSeparator/>
      </w:r>
    </w:p>
  </w:footnote>
  <w:footnote w:id="2">
    <w:p w:rsidR="003B2630" w:rsidRDefault="003B2630" w:rsidP="003B2630">
      <w:pPr>
        <w:pStyle w:val="a3"/>
        <w:jc w:val="both"/>
      </w:pPr>
      <w:r>
        <w:rPr>
          <w:rStyle w:val="a5"/>
        </w:rPr>
        <w:footnoteRef/>
      </w:r>
      <w:r w:rsidRPr="000B68EC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AE5738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E5738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Ашихмин">
    <w15:presenceInfo w15:providerId="Windows Live" w15:userId="3d76175de30023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630"/>
    <w:rsid w:val="001D070A"/>
    <w:rsid w:val="00247D13"/>
    <w:rsid w:val="002B14D6"/>
    <w:rsid w:val="003300DE"/>
    <w:rsid w:val="0033292D"/>
    <w:rsid w:val="003B2630"/>
    <w:rsid w:val="003B5EDD"/>
    <w:rsid w:val="004034E2"/>
    <w:rsid w:val="00423D1D"/>
    <w:rsid w:val="00516580"/>
    <w:rsid w:val="005B5A78"/>
    <w:rsid w:val="006A0839"/>
    <w:rsid w:val="007276E1"/>
    <w:rsid w:val="00785154"/>
    <w:rsid w:val="007C2DF8"/>
    <w:rsid w:val="008C62DD"/>
    <w:rsid w:val="009325C7"/>
    <w:rsid w:val="0096301F"/>
    <w:rsid w:val="009D523C"/>
    <w:rsid w:val="00A5305F"/>
    <w:rsid w:val="00A81261"/>
    <w:rsid w:val="00BD5BAE"/>
    <w:rsid w:val="00C07A17"/>
    <w:rsid w:val="00C1239D"/>
    <w:rsid w:val="00D12BCC"/>
    <w:rsid w:val="00D162AB"/>
    <w:rsid w:val="00D447E9"/>
    <w:rsid w:val="00F5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6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63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3B2630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B26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Николай</cp:lastModifiedBy>
  <cp:revision>3</cp:revision>
  <dcterms:created xsi:type="dcterms:W3CDTF">2017-04-24T12:22:00Z</dcterms:created>
  <dcterms:modified xsi:type="dcterms:W3CDTF">2017-04-24T12:22:00Z</dcterms:modified>
</cp:coreProperties>
</file>